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BbgFischG (Brandenburg) — Übertragung von selbständigen Fischereirechten</w:t>
      </w:r>
    </w:p>
    <w:p>
      <w:r>
        <w:rPr>
          <w:color w:val="555555"/>
          <w:sz w:val="18"/>
        </w:rPr>
        <w:t xml:space="preserve">Fischereigesetz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Selbständige Fischereirechte sind nur ungeteilt und mit allen Nebenrechten und Verpflichtungen übertragbar, es sei denn, die Übertragung erfolgt an den Eigentümer des belasteten Gewässergrundstücks. Personen im Sinne des § 17 Abs. 2 Nr. 1 und 2 können Fischereirechte, die mit dem Eigentum an einem anderen Grundstück als dem Gewässergrundstück verbunden sind, als selbständige Fischereirechte erwerben. Übertragungsverträge bedürfen der notariellen Beurkundung und der Genehmigung durch die Fischereibehörde.</w:t>
      </w:r>
    </w:p>
    <w:p>
      <w:r>
        <w:t xml:space="preserve">(2) Für das Genehmigungsverfahren sind die §§ 9 bis 11 des Grundstücksverkehrsgesetzes vom 28. Juli 1961 (BGBl. I S. 1091, bereinigt S. 1652 und 2000) entsprechend anzuwenden.</w:t>
      </w:r>
    </w:p>
    <w:p>
      <w:r>
        <w:t xml:space="preserve">(3) Auf selbständige Fischereirechte besteht ein Vorkaufsrecht für den Eigentümer des belasteten Gewässers. Auf selbständige Fischereirechte an staatlichen Gewässern besteht ein vorrangiges Vorkaufsrecht des Landes Brandenburg. Das Vorkaufsrecht erlischt, wenn es nicht innerhalb von drei Monaten nach dem Verkaufsangebot durch schriftliche oder elektronische Erklärung gegenüber dem Verkäufer geltend gemacht wird.</w:t>
      </w:r>
    </w:p>
    <w:p>
      <w:r>
        <w:rPr>
          <w:color w:val="555555"/>
          <w:sz w:val="17"/>
        </w:rPr>
        <w:t xml:space="preserve">Zitiervorschlag: § 6 BbgFischG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