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BbgFischG (Brandenburg) — Fischereischeine und Betriebsgenehmigungen alten Rechts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Nach bisherigem Recht erteilte Jugend- und Sonderfischereischeine berechtigen zum Gebrauch der Friedfischangel.</w:t>
      </w:r>
    </w:p>
    <w:p>
      <w:r>
        <w:t xml:space="preserve">(2) Ein Fischereischein ist nicht erforderlich für Personen, die am 1. August 2006 eine gültige Betriebsgenehmigung nach bisherigem Recht besitzen.</w:t>
      </w:r>
    </w:p>
    <w:p>
      <w:r>
        <w:t xml:space="preserve">(3) Von der Ablegung der Angelprüfung sind Personen befreit, die am 1. August 2006 einen Fischereischein A besitzen.</w:t>
      </w:r>
    </w:p>
    <w:p>
      <w:r>
        <w:rPr>
          <w:color w:val="555555"/>
          <w:sz w:val="17"/>
        </w:rPr>
        <w:t xml:space="preserve">Zitiervorschlag: § 42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https://recht.nulegal.eu/gesetze/BbgFischG/42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