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BbgFischG (Brandenburg) — Weitergeltung bestehender Fischereirechte</w:t>
      </w:r>
    </w:p>
    <w:p>
      <w:r>
        <w:rPr>
          <w:color w:val="555555"/>
          <w:sz w:val="18"/>
        </w:rPr>
        <w:t xml:space="preserve">Fischereigesetz für das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Fischereirechte des Landes Brandenburg, die zum Zeitpunkt des Inkrafttretens dieses Gesetzes an nicht in seinem Eigentum stehenden öffentlichen Gewässern bestehen, bleiben unberührt.</w:t>
      </w:r>
    </w:p>
    <w:p>
      <w:r>
        <w:t xml:space="preserve">(2) Fischereirechte, die nicht dem Eigentümer des Gewässergrundstücks zustehen und die zum Zeitpunkt des Inkrafttretens dieses Gesetzes in den Fischereiregistern gemäß § 11 des Fischereigesetzes vom 2. Dezember 1959 (GBl. I Nr. 67 S. 864) eingetragen sind, bleiben bestehen.</w:t>
      </w:r>
    </w:p>
    <w:p>
      <w:r>
        <w:t xml:space="preserve">(3) Fischereirechte, die gemäß § 7 Abs. 1 des Fischereigesetzes vom 2. Dezember 1959 übernommen wurden, bestehen als selbständige Fischereirechte des Landes Brandenburg fort.</w:t>
      </w:r>
    </w:p>
    <w:p>
      <w:r>
        <w:t xml:space="preserve">(4) Die selbständigen Fischereirechte, die gemäß § 10 und § 11 Abs. 2 des Fischereigesetzes vom 2. Dezember 1959 zu löschen beziehungsweise erloschen waren, gelten zum 1. Januar 1961 als gelöscht und erloschen.</w:t>
      </w:r>
    </w:p>
    <w:p>
      <w:r>
        <w:rPr>
          <w:color w:val="555555"/>
          <w:sz w:val="17"/>
        </w:rPr>
        <w:t xml:space="preserve">Zitiervorschlag: § 41 BbgFischG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https://recht.nulegal.eu/gesetze/BbgFischG/41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