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BbgFischG (Brandenburg) — Fischereibeiräte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der obersten Fischereibehörde wird ein Landesfischereibeirat gebildet. Er besteht aus Vertretern der Fischereiberechtigten, der Berufs- und der Angelfischerei, der Land- und Forstwirtschaft, der Fischereiwissenschaft, der Wasserwirtschaft, des Veterinärwesens und der gemäß § 29 des Bundesnaturschutzgesetzes anerkannten Verbände.</w:t>
      </w:r>
    </w:p>
    <w:p>
      <w:r>
        <w:t xml:space="preserve">(2) Der Landesfischereibeirat ist in grundsätzlichen fischereilichen Fragen zu hören; er berät die oberste Fischereibehörde.</w:t>
      </w:r>
    </w:p>
    <w:p>
      <w:r>
        <w:t xml:space="preserve">(3) Die Mitglieder des Fischereibeirats üben ihre Tätigkeit ehrenamtlich aus.</w:t>
      </w:r>
    </w:p>
    <w:p>
      <w:r>
        <w:t xml:space="preserve">(4) Bei der Fischereibehörde können bis zu drei regionale Fischereibeiräte gebildet werden. Die Bestimmungen der Absätze 1 bis 3 gelten entsprechend.</w:t>
      </w:r>
    </w:p>
    <w:p>
      <w:r>
        <w:rPr>
          <w:color w:val="555555"/>
          <w:sz w:val="17"/>
        </w:rPr>
        <w:t xml:space="preserve">Zitiervorschlag: § 37 BbgFischG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