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32a BbgFischG (Brandenburg) — Umsetzung von Rechtsakten der Europäischen Gemeinschaft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Zur Durchführung der Rechtsakte der Europäischen Gemeinschaft auf dem Gebiet der Aquakultur und der Binnenfischerei wird der für Landwirtschaft zuständige Minister ermächtigt, durch Rechtsverordnung Bestimmungen zu treffen über</w:t>
      </w:r>
    </w:p>
    <w:p>
      <w:r>
        <w:t xml:space="preserve">die Erfassung von Informationen über gewerbsmäßige Fangtätigkeiten, insbesondere zur Erstellung von Verzeichnissen</w:t>
      </w:r>
    </w:p>
    <w:p>
      <w:r>
        <w:t xml:space="preserve">aller Fischereifahrzeuge und gewerbsmäßiger Akteure und Fischer sowie</w:t>
      </w:r>
    </w:p>
    <w:p>
      <w:r>
        <w:t xml:space="preserve">aller Einrichtungen oder anderen von den Mitgliedstaaten zugelassenen Stellen oder ermächtigten Personen, die die Erstvermarktung von Erzeugnissen der Binnenfischerei und der Aquakultur durchführen,</w:t>
      </w:r>
    </w:p>
    <w:p>
      <w:r>
        <w:t xml:space="preserve">Nachweise über den Fang und die Abgabe von Binnenfischen,</w:t>
      </w:r>
    </w:p>
    <w:p>
      <w:r>
        <w:t xml:space="preserve">Verbote oder Einschränkungen des gewerbsmäßigen Fangs und der Erstvermarktung bestimmter Fischarten,</w:t>
      </w:r>
    </w:p>
    <w:p>
      <w:r>
        <w:t xml:space="preserve">die Zuständigkeit des Landesamtes für Ländliche Entwicklung, Landwirtschaft und Flurneuordnung.</w:t>
      </w:r>
    </w:p>
    <w:p>
      <w:r>
        <w:rPr>
          <w:color w:val="555555"/>
          <w:sz w:val="17"/>
        </w:rPr>
        <w:t xml:space="preserve">Zitiervorschlag: § 32a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https://recht.nulegal.eu/gesetze/BbgFischG/32a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