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BbgFischG (Brandenburg) — Inhalt des Fischereirechts, Hegepflicht</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Fischereirecht gibt die ausschließliche Befugnis, in einem Gewässer Fische einschließlich deren Laich, Neunaugen, Krebse, Muscheln sowie Fischnährtiere (nachfolgend Fische genannt) zu hegen, zu fangen und mit Ausnahme der geschützten Arten sich anzueignen. Die ökologisch verträgliche Nutzung abgestorbener Teile von Schilf- und Rohrbeständen ist Bestandteil des Fischereirechts.</w:t>
      </w:r>
    </w:p>
    <w:p>
      <w:r>
        <w:t xml:space="preserve">(2) Das Fischereirecht verpflichtet zur Erhaltung, Förderung und Hege eines der Größe und Beschaffenheit des Gewässers entsprechenden heimischen Fischbestandes in naturnaher Artenvielfalt.</w:t>
      </w:r>
    </w:p>
    <w:p>
      <w:r>
        <w:rPr>
          <w:color w:val="555555"/>
          <w:sz w:val="17"/>
        </w:rPr>
        <w:t xml:space="preserve">Zitiervorschlag: § 3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