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BbgFischG (Brandenburg) — Sicherung des Fischwechsels</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Gewässern dürfen keine Vorrichtungen, vorbehaltlich der Regelungen des § 30, betrieben werden, die den Wechsel der Fische verhindern.</w:t>
      </w:r>
    </w:p>
    <w:p>
      <w:r>
        <w:t xml:space="preserve">(2) Ein Gewässer darf durch feststehende Fischwehre, feststehende Fischzäune und feststehende Selbstfänge für Aale und andere Fische, unabhängig davon, ob sie elektrisch betrieben werden oder ob das angebrachte Fanggerät entfernt werden kann (selbständige Fischereivorrichtungen), auf nicht mehr als die halbe Breite - bei Mittelwasserstand vom Ufer aus gemessen - oder die halbe Tiefe für den Fischwechsel gesperrt werden. Selbständige Fischereivorrichtungen müssen voneinander so weit entfernt sein, daß sie den Fischwechsel nicht erheblich beeinträchtigen. Die wasserrechtlichen Vorschriften bleiben unberührt. Die Fischereibehörde kann für den Aalfang Ausnahmen zulassen.</w:t>
      </w:r>
    </w:p>
    <w:p>
      <w:r>
        <w:t xml:space="preserve">(3) Während der Dauer der Schonzeiten müssen ständige Fischereivorrichtungen in Gewässern beseitigt oder abgestellt werden. Die Fischereibehörde kann Ausnahmen zulassen, wenn dadurch die Erhaltung des Fischbestandes nicht gefährdet wird.</w:t>
      </w:r>
    </w:p>
    <w:p>
      <w:r>
        <w:rPr>
          <w:color w:val="555555"/>
          <w:sz w:val="17"/>
        </w:rPr>
        <w:t xml:space="preserve">Zitiervorschlag: § 29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