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BbgFischG (Brandenburg) — Verbot schädigender Mittel</w:t>
      </w:r>
    </w:p>
    <w:p>
      <w:r>
        <w:rPr>
          <w:color w:val="555555"/>
          <w:sz w:val="18"/>
        </w:rPr>
        <w:t xml:space="preserve">Fischereigesetz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Es ist verboten, zum Fischfang explodierende oder giftige Mittel, Schußwaffen oder Schußgeräte sowie Fischspeere oder ähnliche Fanggeräte zu verwenden.</w:t>
      </w:r>
    </w:p>
    <w:p>
      <w:r>
        <w:t xml:space="preserve">(2) Die Verwendung von künstlichem Licht und von Elektrizität zu fischereiwirtschaftlichen und wissenschaftlichen Zwecken bedarf der Zulassung durch die Fischereibehörde.</w:t>
      </w:r>
    </w:p>
    <w:p>
      <w:r>
        <w:rPr>
          <w:color w:val="555555"/>
          <w:sz w:val="17"/>
        </w:rPr>
        <w:t xml:space="preserve">Zitiervorschlag: § 26 BbgFischG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https://recht.nulegal.eu/gesetze/BbgFischG/26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