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BbgFischG (Brandenburg) — Geltungsbereich</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Fischereigesetz regelt die Fischerei in allen ständig oder zeitweise wasserführenden Oberflächengewässern, die Aufzucht und Haltung von Fischen und anderen Wasserorganismen in allen künstlich angelegten Fischteichen und sonstigen Anlagen sowie die Maßnahmen zum Schutz der Fischerei.</w:t>
      </w:r>
    </w:p>
    <w:p>
      <w:r>
        <w:t xml:space="preserve">(2) Auf bewirtschaftete Anlagen der Teichwirtschaft, der Fischzucht und -haltung sowie Stauteiche, die ausschließlich der Energiegewinnung durch Wasserkraft dienen, finden § 3 Abs. 2, § 10 Abs. 3, §§ 23 bis 25 und § 28 Abs. 2 keine Anwendung. Gleiches gilt für Gewässer bis zur Größe von 0,5 Hektar, denen es an einer für den Fischwechsel geeigneten Verbindung mit anderen Gewässern fehlt.</w:t>
      </w:r>
    </w:p>
    <w:p>
      <w:r>
        <w:rPr>
          <w:color w:val="555555"/>
          <w:sz w:val="17"/>
        </w:rPr>
        <w:t xml:space="preserve">Zitiervorschlag: § 2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