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BbgFischG (Brandenburg) — Zugang zu Gewässern</w:t>
      </w:r>
    </w:p>
    <w:p>
      <w:r>
        <w:rPr>
          <w:color w:val="555555"/>
          <w:sz w:val="18"/>
        </w:rPr>
        <w:t xml:space="preserve">Fischereigesetz für das Land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Fischereiausübungsberechtigte und ihre Helfer sind befugt, die an das Gewässer angrenzenden Ufer, Inseln, Anlandungen und Schiffahrtsanlagen sowie Brücken, Wehre, Schleusen und sonstige Wasserbauwerke zum Zwecke der Ausübung der Fischerei auf eigene Gefahr zu betreten und zu benutzen, soweit öffentlich-rechtliche Vorschriften nicht entgegenstehen. Die Befugnis nach Satz 1 erstreckt sich nicht auf Gebäude, zum unmittelbaren Haus-, Wohn- und Hofbereich gehörende Grundstücksteile und gewerbliche Anlagen mit Ausnahme von Campingplätzen.</w:t>
      </w:r>
    </w:p>
    <w:p>
      <w:r>
        <w:t xml:space="preserve">(2) Die Fischereibehörde kann im Einzelfall das Betreten von Uferflächen und Anlagen in und an Gewässern einschränken oder verbieten, soweit dies im öffentlichen Interesse zum Schutz der Anlagen oder zur Abwehr von Gefahren erforderlich ist.</w:t>
      </w:r>
    </w:p>
    <w:p>
      <w:r>
        <w:t xml:space="preserve">(3) Die Fischereibehörde kann dem Fischereiausübungsberechtigten ein Recht zum Betreten von Grundstücken gegen eine der Höhe nach festzusetzende Entschädigung des Grundstückseigentümers einräumen, soweit dies zur Ausübung des Fischereirechts erforderlich ist. Die Entschädigung geht zu Lasten des Begünstigten.</w:t>
      </w:r>
    </w:p>
    <w:p>
      <w:r>
        <w:t xml:space="preserve">(4) Für Schäden, die durch die Ausübung des Betretungsrechts verursacht werden, haftet der Fischereiausübungsberechtigte.</w:t>
      </w:r>
    </w:p>
    <w:p>
      <w:r>
        <w:rPr>
          <w:color w:val="555555"/>
          <w:sz w:val="17"/>
        </w:rPr>
        <w:t xml:space="preserve">Zitiervorschlag: § 16 BbgFischG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https://recht.nulegal.eu/gesetze/BbgFischG/16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