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BbgFischG (Brandenburg) — Anzeige von Fischereipachtverträgen</w:t>
      </w:r>
    </w:p>
    <w:p>
      <w:r>
        <w:rPr>
          <w:color w:val="555555"/>
          <w:sz w:val="18"/>
        </w:rPr>
        <w:t xml:space="preserve">Fischereigesetz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Pächter hat der Fischereibehörde den Abschluss und die Änderung eines Fischereipachtvertrages innerhalb eines Monats nach Abschluss anzuzeigen. Das gleiche gilt für Unterpachtverträge.</w:t>
      </w:r>
    </w:p>
    <w:p>
      <w:r>
        <w:rPr>
          <w:color w:val="555555"/>
          <w:sz w:val="17"/>
        </w:rPr>
        <w:t xml:space="preserve">Zitiervorschlag: § 12 BbgFischG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