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BbgFischG (Brandenburg) — Fischereipachtvertrag</w:t>
      </w:r>
    </w:p>
    <w:p>
      <w:r>
        <w:rPr>
          <w:color w:val="555555"/>
          <w:sz w:val="18"/>
        </w:rPr>
        <w:t xml:space="preserve">Fischereigesetz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Abschluß und Änderung eines Fischereipachtvertrages bedürfen der Schriftform. Die Mindestpachtzeit beträgt zwölf Jahre. Über Ausnahmen zur Vermeidung unbilliger Härten entscheidet die Fischereibehörde.</w:t>
      </w:r>
    </w:p>
    <w:p>
      <w:r>
        <w:t xml:space="preserve">(2) Küchenfischereirechte (§ 7 Abs. 2) dürfen nicht, Koppelfischereirechte dürfen nur an Erwerbsfischer oder deren Vereinigungen verpachtet werden.</w:t>
      </w:r>
    </w:p>
    <w:p>
      <w:r>
        <w:t xml:space="preserve">(3) Verträge, die gegen die Absätze 1 oder 2 oder gegen § 10 Abs. 2 bis 4 verstoßen, sind nichtig.</w:t>
      </w:r>
    </w:p>
    <w:p>
      <w:r>
        <w:t xml:space="preserve">(4) Auf den Fischereipachtvertrag finden die Vorschriften der §§ 581 bis 584 b, 1056 und 2135 des Bürgerlichen Gesetzbuches entsprechende Anwendung.</w:t>
      </w:r>
    </w:p>
    <w:p>
      <w:r>
        <w:t xml:space="preserve">(5) Für die Dauer eines Streits über die Wirksamkeit des Pachtvertrages regelt die Fischereibehörde die Ausübung der Fischerei vorläufig.</w:t>
      </w:r>
    </w:p>
    <w:p>
      <w:r>
        <w:rPr>
          <w:color w:val="555555"/>
          <w:sz w:val="17"/>
        </w:rPr>
        <w:t xml:space="preserve">Zitiervorschlag: § 11 BbgFischG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https://recht.nulegal.eu/gesetze/BbgFischG/11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