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BbgFischG (Brandenburg) — Gesetzeszweck</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Gewässer als Lebensraum und die in ihnen beheimateten Tiere und Pflanzen sind Bestandteile des Naturhaushaltes und damit Lebensgrundlagen der menschlichen Gesellschaft. Qualität und Vielfalt der Gewässer sind unentbehrliche Voraussetzungen für die Entwicklung, Erhaltung und Nutzung der Fischbestände, die in ihrer Artenvielfalt und natürlichen Artenzusammensetzung zu schützen sind.</w:t>
      </w:r>
    </w:p>
    <w:p>
      <w:r>
        <w:t xml:space="preserve">(2) Ordnungsgemäße Fischerei dient der Erhaltung eines ausgewogenen Naturhaushaltes der Gewässer in der Kulturlandschaft. Sie ist als Teil der Kulturgeschichte und aus Gründen der Freizeit- und Erholungsgestaltung notwendig. Schutz, Erhaltung, Fortentwicklung und Nutzung der im Wasser lebenden Tier- und Pflanzenwelt sind zentrale Anliegen dieses Gesetzes.</w:t>
      </w:r>
    </w:p>
    <w:p>
      <w:r>
        <w:t xml:space="preserve">(3) Dieses Gesetz dient der Wiederherstellung leistungs- und wettbewerbsfähiger Fischereibetriebe; es fördert die Ausübung der Angelfischerei.</w:t>
      </w:r>
    </w:p>
    <w:p>
      <w:r>
        <w:rPr>
          <w:color w:val="555555"/>
          <w:sz w:val="17"/>
        </w:rPr>
        <w:t xml:space="preserve">Zitiervorschlag: § 1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