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BbgFeuV (Brandenburg) — In-Kraft-Treten, Außer-Kraft-Treten</w:t>
      </w:r>
    </w:p>
    <w:p>
      <w:r>
        <w:rPr>
          <w:color w:val="555555"/>
          <w:sz w:val="18"/>
        </w:rPr>
        <w:t xml:space="preserve">Brandenburgische Feuerungsverordnung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Brandenburgische Feuerungsverordnung vom 21. Juli 1998 ( GVBl. II S. 518) außer Kraft.</w:t>
      </w:r>
    </w:p>
    <w:p>
      <w:r>
        <w:t xml:space="preserve">Potsdam, den 13. Januar 2006</w:t>
      </w:r>
    </w:p>
    <w:p>
      <w:r>
        <w:t xml:space="preserve">Der Minister für Infrastruktur und Raumordnung</w:t>
      </w:r>
    </w:p>
    <w:p>
      <w:r>
        <w:t xml:space="preserve">Frank Szymanski</w:t>
      </w:r>
    </w:p>
    <w:p>
      <w:r>
        <w:t xml:space="preserve">* Die Verpflichtungen aus der Richtlinie 98/34/EG des Europäischen Parlaments und des Rates vom 22. Juni 1998 über ein Informationsverfahren auf dem Gebiet der Normen und technischen Vorschriften und der Vorschriften für die Dienste der Informationsgesellschaft ( ABI. EG Nr. L 204 S. 37), zuletzt geändert durch die Richtlinie 98/48/EG des Europäischen Parlaments und des Rates vom 20. Juli 1998 (ABI. EG Nr. L 217 S. 18) sind beachtet worden.</w:t>
      </w:r>
    </w:p>
    <w:p>
      <w:r>
        <w:rPr>
          <w:color w:val="555555"/>
          <w:sz w:val="17"/>
        </w:rPr>
        <w:t xml:space="preserve">Zitiervorschlag: § 13 BbgFeuV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https://recht.nulegal.eu/gesetze/BbgFeuV/13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