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BbgFeuV (Brandenburg) — Einschränkung des Anwendungsbereichs</w:t>
      </w:r>
    </w:p>
    <w:p>
      <w:r>
        <w:rPr>
          <w:color w:val="555555"/>
          <w:sz w:val="18"/>
        </w:rPr>
        <w:t xml:space="preserve">Brandenburgische Feuerungsverordnung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Feuerstätten, Wärmepumpen und Blockheizkraftwerke gilt die Verordnung nur, soweit diese Anlagen der Beheizung von Räumen oder der Warmwasserversorgung dienen oder Gas-Haushalts-Kochgeräte sind. Die Verordnung gilt nicht für Brennstoffzellen und ihre Anlagen zur Abführung der Prozessgase.</w:t>
      </w:r>
    </w:p>
    <w:p>
      <w:r>
        <w:rPr>
          <w:color w:val="555555"/>
          <w:sz w:val="17"/>
        </w:rPr>
        <w:t xml:space="preserve">Zitiervorschlag: § 1 BbgFeuV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https://recht.nulegal.eu/gesetze/BbgFeuV/1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