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BbgFGG (Brandenburg)</w:t>
      </w:r>
    </w:p>
    <w:p>
      <w:r>
        <w:rPr>
          <w:color w:val="555555"/>
          <w:sz w:val="18"/>
        </w:rPr>
        <w:t xml:space="preserve">Brandenburgisches Finanzgerichtsgesetz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Verfahren zur Bestimmung der Zahl der Senate des gemeinsamen Finanzgerichts wird staatsvertraglich geregelt.</w:t>
      </w:r>
    </w:p>
    <w:p>
      <w:r>
        <w:rPr>
          <w:color w:val="555555"/>
          <w:sz w:val="17"/>
        </w:rPr>
        <w:t xml:space="preserve">Zitiervorschlag: § 4 BbgFGG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https://recht.nulegal.eu/gesetze/BbgFGG/4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