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BbgFGG (Brandenburg)</w:t>
      </w:r>
    </w:p>
    <w:p>
      <w:r>
        <w:rPr>
          <w:color w:val="555555"/>
          <w:sz w:val="18"/>
        </w:rPr>
        <w:t xml:space="preserve">Brandenburgisches Finanzgerichtsgesetz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Im Land Brandenburg wird eine selbständige Finanzgerichtsbarkeit errichtet.</w:t>
      </w:r>
    </w:p>
    <w:p>
      <w:r>
        <w:rPr>
          <w:color w:val="555555"/>
          <w:sz w:val="17"/>
        </w:rPr>
        <w:t xml:space="preserve">Zitiervorschlag: § 1 BbgFGG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https://recht.nulegal.eu/gesetze/BbgFGG/1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