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BbgFBAV (Brandenburg) — Herausgabe und Versand der Urne</w:t>
      </w:r>
    </w:p>
    <w:p>
      <w:r>
        <w:rPr>
          <w:color w:val="555555"/>
          <w:sz w:val="18"/>
        </w:rPr>
        <w:t xml:space="preserve">Brandenburgische Feuerbestattungsanlagenverordnung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Urne darf nur zum Zwecke der Beisetzung herausgegeben</w:t>
      </w:r>
    </w:p>
    <w:p>
      <w:r>
        <w:t xml:space="preserve">oder versandt werden, und zwar</w:t>
      </w:r>
    </w:p>
    <w:p>
      <w:r>
        <w:t xml:space="preserve">an die Träger von Friedhöfen,</w:t>
      </w:r>
    </w:p>
    <w:p>
      <w:r>
        <w:t xml:space="preserve">an das mit der Bestattung beauftragte Bestattungsunternehmen</w:t>
      </w:r>
    </w:p>
    <w:p>
      <w:r>
        <w:t xml:space="preserve">oder an deren Beauftragte.</w:t>
      </w:r>
    </w:p>
    <w:p>
      <w:r>
        <w:t xml:space="preserve">(2) Wenn die Urne nicht innerhalb von sechs Monaten an einen</w:t>
      </w:r>
    </w:p>
    <w:p>
      <w:r>
        <w:t xml:space="preserve">Berechtigten nach Absatz 1 herausgegeben oder versandt werden konnte, ist dies</w:t>
      </w:r>
    </w:p>
    <w:p>
      <w:r>
        <w:t xml:space="preserve">der örtlichen Ordnungsbehörde anzuzeigen.</w:t>
      </w:r>
    </w:p>
    <w:p>
      <w:r>
        <w:rPr>
          <w:color w:val="555555"/>
          <w:sz w:val="17"/>
        </w:rPr>
        <w:t xml:space="preserve">Zitiervorschlag: § 7 BbgFBAV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https://recht.nulegal.eu/gesetze/BbgFBAV/7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