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BbgFBAV (Brandenburg) — Einäscherung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Einäscherungskammern sind so einzurichten und zu</w:t>
      </w:r>
    </w:p>
    <w:p>
      <w:r>
        <w:t xml:space="preserve">betreiben, dass die Asche rein, vollständig und unvermischt mit</w:t>
      </w:r>
    </w:p>
    <w:p>
      <w:r>
        <w:t xml:space="preserve">Aschenresten anderer Verstorbener entsteht.</w:t>
      </w:r>
    </w:p>
    <w:p>
      <w:r>
        <w:t xml:space="preserve">(2) Jede Einäscherung muss ununterbrochen und</w:t>
      </w:r>
    </w:p>
    <w:p>
      <w:r>
        <w:t xml:space="preserve">vollständig durchgeführt werden. Die Leichen sind in den Särgen</w:t>
      </w:r>
    </w:p>
    <w:p>
      <w:r>
        <w:t xml:space="preserve">oder Einsatzsärgen einzuäschern, in denen sie zur</w:t>
      </w:r>
    </w:p>
    <w:p>
      <w:r>
        <w:t xml:space="preserve">Feuerbestattungsanlage gelangen, es sei denn, diese entsprechen nicht den</w:t>
      </w:r>
    </w:p>
    <w:p>
      <w:r>
        <w:t xml:space="preserve">Anforderungen des § 23 Abs. 5 Satz 1 des Brandenburgischen</w:t>
      </w:r>
    </w:p>
    <w:p>
      <w:r>
        <w:t xml:space="preserve">Bestattungsgesetzes. Einäscherungen dürfen nur vorgenommen werden,</w:t>
      </w:r>
    </w:p>
    <w:p>
      <w:r>
        <w:t xml:space="preserve">wenn Särge und Bekleidung der Leichen so beschaffen sind, dass bei der</w:t>
      </w:r>
    </w:p>
    <w:p>
      <w:r>
        <w:t xml:space="preserve">Einäscherung übermäßige Rauch- und Rußentwicklung,</w:t>
      </w:r>
    </w:p>
    <w:p>
      <w:r>
        <w:t xml:space="preserve">Geruchsbelästigung sowie Gefahren für das Personal oder</w:t>
      </w:r>
    </w:p>
    <w:p>
      <w:r>
        <w:t xml:space="preserve">Beschädigungen der Feuerbestattungsanlage nicht zu befürchten sind.</w:t>
      </w:r>
    </w:p>
    <w:p>
      <w:r>
        <w:t xml:space="preserve">(3) Zum Ausschluss von Verwechslungen ist an dem Sarg, ehe er</w:t>
      </w:r>
    </w:p>
    <w:p>
      <w:r>
        <w:t xml:space="preserve">in den Verbrennungsofen eingebracht wird, eine durch die Ofenhitze nicht</w:t>
      </w:r>
    </w:p>
    <w:p>
      <w:r>
        <w:t xml:space="preserve">zerstörbare Marke anzubringen, auf welcher die Nummer der Eintragung der</w:t>
      </w:r>
    </w:p>
    <w:p>
      <w:r>
        <w:t xml:space="preserve">Einäscherung in das Feuerbestattungsverzeichnis (§ 8 Abs. 2) und der</w:t>
      </w:r>
    </w:p>
    <w:p>
      <w:r>
        <w:t xml:space="preserve">Name der Feuerbestattungsanlage deutlich sichtbar sind.</w:t>
      </w:r>
    </w:p>
    <w:p>
      <w:r>
        <w:t xml:space="preserve">(4) Die Aschenreste jeder Leiche und die Nummernmarke nach</w:t>
      </w:r>
    </w:p>
    <w:p>
      <w:r>
        <w:t xml:space="preserve">Absatz 3 sind unverzüglich in einem zu verschließenden</w:t>
      </w:r>
    </w:p>
    <w:p>
      <w:r>
        <w:t xml:space="preserve">Behältnis (Urne) zu sammeln. Zur eindeutigen Kennzeichnung sind auf dem</w:t>
      </w:r>
    </w:p>
    <w:p>
      <w:r>
        <w:t xml:space="preserve">Aschebehältnis die Angaben der Nummernmarke nach Absatz 3 zu wiederholen</w:t>
      </w:r>
    </w:p>
    <w:p>
      <w:r>
        <w:t xml:space="preserve">und zusätzlich folgende Daten aufzubringen:</w:t>
      </w:r>
    </w:p>
    <w:p>
      <w:r>
        <w:t xml:space="preserve">Name und Vorname des Verstorbenen sowie</w:t>
      </w:r>
    </w:p>
    <w:p>
      <w:r>
        <w:t xml:space="preserve">Tag und Jahr der Geburt, des Todes und der Einäscherung des</w:t>
      </w:r>
    </w:p>
    <w:p>
      <w:r>
        <w:t xml:space="preserve">Verstorbenen.</w:t>
      </w:r>
    </w:p>
    <w:p>
      <w:r>
        <w:rPr>
          <w:color w:val="555555"/>
          <w:sz w:val="17"/>
        </w:rPr>
        <w:t xml:space="preserve">Zitiervorschlag: § 6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