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BbgFBAV (Brandenburg) — Betriebsordnung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Betreiber der Feuerbestattungsanlage hat den Betrieb</w:t>
      </w:r>
    </w:p>
    <w:p>
      <w:r>
        <w:t xml:space="preserve">durch eine Betriebsordnung zu regeln, die Bestimmungen enthalten muss über</w:t>
      </w:r>
    </w:p>
    <w:p>
      <w:r>
        <w:t xml:space="preserve">die Organisation und die Durchführung der mit dem Betrieb</w:t>
      </w:r>
    </w:p>
    <w:p>
      <w:r>
        <w:t xml:space="preserve">zusammenhängenden Aufgaben,</w:t>
      </w:r>
    </w:p>
    <w:p>
      <w:r>
        <w:t xml:space="preserve">das Verfahren bei der Einlieferung der Leichen,</w:t>
      </w:r>
    </w:p>
    <w:p>
      <w:r>
        <w:t xml:space="preserve">die Verwahrung der Leichen,</w:t>
      </w:r>
    </w:p>
    <w:p>
      <w:r>
        <w:t xml:space="preserve">das Verfahren bei der Einäscherung, insbesondere die Feststellung der</w:t>
      </w:r>
    </w:p>
    <w:p>
      <w:r>
        <w:t xml:space="preserve">Identität der Leichen,</w:t>
      </w:r>
    </w:p>
    <w:p>
      <w:r>
        <w:t xml:space="preserve">die Behandlung der Asche und</w:t>
      </w:r>
    </w:p>
    <w:p>
      <w:r>
        <w:t xml:space="preserve">die Kennzeichnung, Aufbewahrung, Herausgabe und den Versand der Urnen.</w:t>
      </w:r>
    </w:p>
    <w:p>
      <w:r>
        <w:t xml:space="preserve">Kommunale Körperschaften haben die rechtlichen Vorgaben der</w:t>
      </w:r>
    </w:p>
    <w:p>
      <w:r>
        <w:t xml:space="preserve">Kommunalverfassung des Landes Brandenburg zu beachten.</w:t>
      </w:r>
    </w:p>
    <w:p>
      <w:r>
        <w:t xml:space="preserve">(2) Die Betriebsordnung hat sicherzustellen, dass insbesondere</w:t>
      </w:r>
    </w:p>
    <w:p>
      <w:r>
        <w:t xml:space="preserve">durch die Einlieferung von Leichen, die Durchführung der Einäscherung</w:t>
      </w:r>
    </w:p>
    <w:p>
      <w:r>
        <w:t xml:space="preserve">und die sonstigen Betriebsabläufe die Abschiednahmen und Trauerfeiern</w:t>
      </w:r>
    </w:p>
    <w:p>
      <w:r>
        <w:t xml:space="preserve">innerhalb der Feuerbestattungsanlage nicht behindert, gestört oder</w:t>
      </w:r>
    </w:p>
    <w:p>
      <w:r>
        <w:t xml:space="preserve">beeinträchtigt werden.</w:t>
      </w:r>
    </w:p>
    <w:p>
      <w:r>
        <w:t xml:space="preserve">(3) Die Betriebsordnung ist an geeigneter Stelle in den</w:t>
      </w:r>
    </w:p>
    <w:p>
      <w:r>
        <w:t xml:space="preserve">Räumen der Feuerbestattungsanlage auszuhängen. Der Betreiber hat</w:t>
      </w:r>
    </w:p>
    <w:p>
      <w:r>
        <w:t xml:space="preserve">nachweisbar sicherzustellen, dass ihr vollständiger Inhalt jedem</w:t>
      </w:r>
    </w:p>
    <w:p>
      <w:r>
        <w:t xml:space="preserve">Betriebsangehörigen der Feuerbestattungsanlage bekannt ist.</w:t>
      </w:r>
    </w:p>
    <w:p>
      <w:r>
        <w:t xml:space="preserve">(4) Änderungen der Betriebsordnung sind der für die</w:t>
      </w:r>
    </w:p>
    <w:p>
      <w:r>
        <w:t xml:space="preserve">Überwachung des Betriebes zuständigen Aufsichtsbehörde</w:t>
      </w:r>
    </w:p>
    <w:p>
      <w:r>
        <w:t xml:space="preserve">anzuzeigen.</w:t>
      </w:r>
    </w:p>
    <w:p>
      <w:r>
        <w:rPr>
          <w:color w:val="555555"/>
          <w:sz w:val="17"/>
        </w:rPr>
        <w:t xml:space="preserve">Zitiervorschlag: § 4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