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BbgFBAV (Brandenburg) — Pflichten des Betreibers</w:t>
      </w:r>
    </w:p>
    <w:p>
      <w:r>
        <w:rPr>
          <w:color w:val="555555"/>
          <w:sz w:val="18"/>
        </w:rPr>
        <w:t xml:space="preserve">Brandenburgische Feuerbestattungsanlagenverordnung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Der Betreiber der Feuerbestattungsanlage hat</w:t>
      </w:r>
    </w:p>
    <w:p>
      <w:r>
        <w:t xml:space="preserve">sicherzustellen, dass das Personal der Feuerbestattungsanlage über die</w:t>
      </w:r>
    </w:p>
    <w:p>
      <w:r>
        <w:t xml:space="preserve">erforderliche Zuverlässigkeit sowie die notwendigen Kenntnisse und</w:t>
      </w:r>
    </w:p>
    <w:p>
      <w:r>
        <w:t xml:space="preserve">Fertigkeiten verfügt.</w:t>
      </w:r>
    </w:p>
    <w:p>
      <w:r>
        <w:t xml:space="preserve">(2) Für den Leiter des Betriebes (§ 24 Abs. 3 Satz 2</w:t>
      </w:r>
    </w:p>
    <w:p>
      <w:r>
        <w:t xml:space="preserve">des Brandenburgischen Bestattungsgesetzes) gelten die Anforderungen nach §</w:t>
      </w:r>
    </w:p>
    <w:p>
      <w:r>
        <w:t xml:space="preserve">2 Abs. 2 und 3 entsprechend. Die Benennungspflicht für den Leiter nach</w:t>
      </w:r>
    </w:p>
    <w:p>
      <w:r>
        <w:t xml:space="preserve">§ 24 Abs. 3 Satz 2 des Brandenburgischen Bestattungsgesetzes gilt auch</w:t>
      </w:r>
    </w:p>
    <w:p>
      <w:r>
        <w:t xml:space="preserve">dann, wenn der Betreiber den Betrieb in eigener Person leitet.</w:t>
      </w:r>
    </w:p>
    <w:p>
      <w:r>
        <w:t xml:space="preserve">(3) Abschiednahmen am offenen Sarg von Leichen Verstorbener mit</w:t>
      </w:r>
    </w:p>
    <w:p>
      <w:r>
        <w:t xml:space="preserve">Erkrankungen im Sinne des § 6 Abs. 4 des Brandenburgischen</w:t>
      </w:r>
    </w:p>
    <w:p>
      <w:r>
        <w:t xml:space="preserve">Bestattungsgesetzes sind vom Betreiber oder vom Personal der</w:t>
      </w:r>
    </w:p>
    <w:p>
      <w:r>
        <w:t xml:space="preserve">Feuerbestattungsanlage zu untersagen.</w:t>
      </w:r>
    </w:p>
    <w:p>
      <w:r>
        <w:rPr>
          <w:color w:val="555555"/>
          <w:sz w:val="17"/>
        </w:rPr>
        <w:t xml:space="preserve">Zitiervorschlag: § 3 BbgFBAV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https://recht.nulegal.eu/gesetze/BbgFBAV/3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