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BbgFBAV (Brandenburg) — Anforderungen an den Betreiber</w:t>
      </w:r>
    </w:p>
    <w:p>
      <w:r>
        <w:rPr>
          <w:color w:val="555555"/>
          <w:sz w:val="18"/>
        </w:rPr>
        <w:t xml:space="preserve">Brandenburgische Feuerbestattungsanlagenverordnung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Betreiber können natürliche Personen oder</w:t>
      </w:r>
    </w:p>
    <w:p>
      <w:r>
        <w:t xml:space="preserve">juristische Personen sein.</w:t>
      </w:r>
    </w:p>
    <w:p>
      <w:r>
        <w:t xml:space="preserve">(2) Der Betreiber muss die für den Betrieb erforderliche</w:t>
      </w:r>
    </w:p>
    <w:p>
      <w:r>
        <w:t xml:space="preserve">Zuverlässigkeit besitzen. Bei juristischen Personen ist die</w:t>
      </w:r>
    </w:p>
    <w:p>
      <w:r>
        <w:t xml:space="preserve">Zuverlässigkeit auch in der Person des Vertreters nachzuweisen. Die</w:t>
      </w:r>
    </w:p>
    <w:p>
      <w:r>
        <w:t xml:space="preserve">erforderliche Zuverlässigkeit besitzen in der Regel natürliche</w:t>
      </w:r>
    </w:p>
    <w:p>
      <w:r>
        <w:t xml:space="preserve">Personen sowie Vertreter juristischer Personen nicht, die</w:t>
      </w:r>
    </w:p>
    <w:p>
      <w:r>
        <w:t xml:space="preserve">wegen eines Verbrechens,</w:t>
      </w:r>
    </w:p>
    <w:p>
      <w:r>
        <w:t xml:space="preserve">wegen Beschimpfung von Bekenntnissen, Religionsgesellschaften und</w:t>
      </w:r>
    </w:p>
    <w:p>
      <w:r>
        <w:t xml:space="preserve">Weltanschauungsvereinigungen,</w:t>
      </w:r>
    </w:p>
    <w:p>
      <w:r>
        <w:t xml:space="preserve">wegen Störung der Religionsausübung,</w:t>
      </w:r>
    </w:p>
    <w:p>
      <w:r>
        <w:t xml:space="preserve">wegen Störung einer Bestattungsfeier,</w:t>
      </w:r>
    </w:p>
    <w:p>
      <w:r>
        <w:t xml:space="preserve">wegen Störung der Totenruhe,</w:t>
      </w:r>
    </w:p>
    <w:p>
      <w:r>
        <w:t xml:space="preserve">wegen Diebstahls oder Unterschlagung,</w:t>
      </w:r>
    </w:p>
    <w:p>
      <w:r>
        <w:t xml:space="preserve">wegen Betruges oder Untreue,</w:t>
      </w:r>
    </w:p>
    <w:p>
      <w:r>
        <w:t xml:space="preserve">wegen Urkundenfälschung,</w:t>
      </w:r>
    </w:p>
    <w:p>
      <w:r>
        <w:t xml:space="preserve">wegen einer Insolvenzstraftat,</w:t>
      </w:r>
    </w:p>
    <w:p>
      <w:r>
        <w:t xml:space="preserve">wegen eines Vergehens gegen das Gesetz gegen den unlauteren Wettbewerb,</w:t>
      </w:r>
    </w:p>
    <w:p>
      <w:r>
        <w:t xml:space="preserve">wegen vorsätzlicher Brandstiftung oder Herbeiführung einer</w:t>
      </w:r>
    </w:p>
    <w:p>
      <w:r>
        <w:t xml:space="preserve">Brandgefahr,</w:t>
      </w:r>
    </w:p>
    <w:p>
      <w:r>
        <w:t xml:space="preserve">wegen einer Straftat gegen die Umweltrechtskräftig verurteilt worden</w:t>
      </w:r>
    </w:p>
    <w:p>
      <w:r>
        <w:t xml:space="preserve">sind oder</w:t>
      </w:r>
    </w:p>
    <w:p>
      <w:r>
        <w:t xml:space="preserve">wiederholt oder vorsätzlich gegen die Vorschriften des</w:t>
      </w:r>
    </w:p>
    <w:p>
      <w:r>
        <w:t xml:space="preserve">Brandenburgischen Bestattungsgesetzes oder die auf</w:t>
      </w:r>
    </w:p>
    <w:p>
      <w:r>
        <w:t xml:space="preserve">Grund dieses Gesetzes erlassenen Rechtsverordnungen verstoßen haben,</w:t>
      </w:r>
    </w:p>
    <w:p>
      <w:r>
        <w:t xml:space="preserve">auf Grund einer psychischen Krankheit oder einer geistigen oder seelischen</w:t>
      </w:r>
    </w:p>
    <w:p>
      <w:r>
        <w:t xml:space="preserve">Behinderung Betreute nach § 1896 des</w:t>
      </w:r>
    </w:p>
    <w:p>
      <w:r>
        <w:t xml:space="preserve">Bürgerlichen Gesetzbuches sind oder</w:t>
      </w:r>
    </w:p>
    <w:p>
      <w:r>
        <w:t xml:space="preserve">trunksüchtig, rauschmittelsüchtig, geisteskrank oder</w:t>
      </w:r>
    </w:p>
    <w:p>
      <w:r>
        <w:t xml:space="preserve">geistesschwach sind.</w:t>
      </w:r>
    </w:p>
    <w:p>
      <w:r>
        <w:t xml:space="preserve">(3) Als Nachweis der Zuverlässigkeit des Betreibers und</w:t>
      </w:r>
    </w:p>
    <w:p>
      <w:r>
        <w:t xml:space="preserve">des von ihm benannten Leiters des Betriebes ist der Genehmigungsbehörde</w:t>
      </w:r>
    </w:p>
    <w:p>
      <w:r>
        <w:t xml:space="preserve">nach § 24 Abs. 5 des Brandenburgischen Bestattungsgesetzes ein</w:t>
      </w:r>
    </w:p>
    <w:p>
      <w:r>
        <w:t xml:space="preserve">Führungszeugnis zur Vorlage bei einer Behörde nach den Vorschriften</w:t>
      </w:r>
    </w:p>
    <w:p>
      <w:r>
        <w:t xml:space="preserve">des Bundeszentralregistergesetzes vorzulegen, dessen Ausstellung nicht</w:t>
      </w:r>
    </w:p>
    <w:p>
      <w:r>
        <w:t xml:space="preserve">länger als sechs Monate zurückliegt.</w:t>
      </w:r>
    </w:p>
    <w:p>
      <w:r>
        <w:t xml:space="preserve">(4) Werden Tatsachen im Sinne des Absatzes 2 Nr. 15 bekannt, so</w:t>
      </w:r>
    </w:p>
    <w:p>
      <w:r>
        <w:t xml:space="preserve">kann die zuständige Behörde verlangen, dass der Betreiber ein amts-</w:t>
      </w:r>
    </w:p>
    <w:p>
      <w:r>
        <w:t xml:space="preserve">oder fachärztliches Zeugnis vorlegt, das aus medizinisch-psychologischer</w:t>
      </w:r>
    </w:p>
    <w:p>
      <w:r>
        <w:t xml:space="preserve">Sicht die auf Grund dieser Tatsachen an seiner Zuverlässigkeit</w:t>
      </w:r>
    </w:p>
    <w:p>
      <w:r>
        <w:t xml:space="preserve">entstandenen Bedenken ausschließt.</w:t>
      </w:r>
    </w:p>
    <w:p>
      <w:r>
        <w:t xml:space="preserve">(5) Die Zuverlässigkeit von öffentlich-rechtlichen</w:t>
      </w:r>
    </w:p>
    <w:p>
      <w:r>
        <w:t xml:space="preserve">Betreibern nach § 24 Abs. 1 des Brandenburgischen Bestattungsgesetzes ist</w:t>
      </w:r>
    </w:p>
    <w:p>
      <w:r>
        <w:t xml:space="preserve">widerlegbar zu vermuten.</w:t>
      </w:r>
    </w:p>
    <w:p>
      <w:r>
        <w:t xml:space="preserve">(6) Der Nachweis der erforderlichen Kenntnisse und</w:t>
      </w:r>
    </w:p>
    <w:p>
      <w:r>
        <w:t xml:space="preserve">Fähigkeiten sowie der sachlichen Voraussetzungen ist durch Vorlage eines</w:t>
      </w:r>
    </w:p>
    <w:p>
      <w:r>
        <w:t xml:space="preserve">abschließenden Konzeptes zu führen, aus dem sich ergibt, dass die</w:t>
      </w:r>
    </w:p>
    <w:p>
      <w:r>
        <w:t xml:space="preserve">Organisationsmaßnahmen des Betreibers geeignet sind, die</w:t>
      </w:r>
    </w:p>
    <w:p>
      <w:r>
        <w:t xml:space="preserve">Feuerbestattungsanlage personell und technisch zu betreiben. Die Vorschriften</w:t>
      </w:r>
    </w:p>
    <w:p>
      <w:r>
        <w:t xml:space="preserve">über die wirtschaftliche Betätigung von Gemeinden bleiben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2 BbgFBAV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https://recht.nulegal.eu/gesetze/BbgFBAV/2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