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BbgFBAV (Brandenburg) — In-Kraft-Treten</w:t>
      </w:r>
    </w:p>
    <w:p>
      <w:r>
        <w:rPr>
          <w:color w:val="555555"/>
          <w:sz w:val="18"/>
        </w:rPr>
        <w:t xml:space="preserve">Brandenburgische Feuerbestattungsanlagenverordnung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rPr>
          <w:color w:val="555555"/>
          <w:sz w:val="17"/>
        </w:rPr>
        <w:t xml:space="preserve">Zitiervorschlag: § 11 BbgFBAV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https://recht.nulegal.eu/gesetze/BbgFBAV/11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