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BbgFBAV (Brandenburg) — Ordnungswidrigkeiten</w:t>
      </w:r>
    </w:p>
    <w:p>
      <w:r>
        <w:rPr>
          <w:color w:val="555555"/>
          <w:sz w:val="18"/>
        </w:rPr>
        <w:t xml:space="preserve">Brandenburgische Feuerbestattungsanlagenverordnung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Ordnungswidrig im Sinne des § 38 Abs. 1 Nr. 19 des</w:t>
      </w:r>
    </w:p>
    <w:p>
      <w:r>
        <w:t xml:space="preserve">Brandenburgischen Bestattungsgesetzes handelt, wer vorsätzlich oder</w:t>
      </w:r>
    </w:p>
    <w:p>
      <w:r>
        <w:t xml:space="preserve">fahrlässig</w:t>
      </w:r>
    </w:p>
    <w:p>
      <w:r>
        <w:t xml:space="preserve">eine Änderung der Betriebsordnung gemäß § 4 Abs. 4</w:t>
      </w:r>
    </w:p>
    <w:p>
      <w:r>
        <w:t xml:space="preserve">nicht der für die Überwachung zuständigen Behörde anzeigt,</w:t>
      </w:r>
    </w:p>
    <w:p>
      <w:r>
        <w:t xml:space="preserve">Einäscherungen nicht gemäß § 6 Abs. 2 Satz 1 und 2</w:t>
      </w:r>
    </w:p>
    <w:p>
      <w:r>
        <w:t xml:space="preserve">vornimmt,</w:t>
      </w:r>
    </w:p>
    <w:p>
      <w:r>
        <w:t xml:space="preserve">entgegen § 6 Abs. 3 den Sarg vor der Einäscherung nicht</w:t>
      </w:r>
    </w:p>
    <w:p>
      <w:r>
        <w:t xml:space="preserve">ordnungsgemäß kennzeichnet,</w:t>
      </w:r>
    </w:p>
    <w:p>
      <w:r>
        <w:t xml:space="preserve">entgegen § 6 Abs. 4 die Asche des Verstorbenen und die</w:t>
      </w:r>
    </w:p>
    <w:p>
      <w:r>
        <w:t xml:space="preserve">dazugehörige Nummernmarke nicht in einem ordnungsgemäß zu</w:t>
      </w:r>
    </w:p>
    <w:p>
      <w:r>
        <w:t xml:space="preserve">verschließenden Behältnis sammelt oder das Behältnis nicht oder</w:t>
      </w:r>
    </w:p>
    <w:p>
      <w:r>
        <w:t xml:space="preserve">falsch kennzeichnet,</w:t>
      </w:r>
    </w:p>
    <w:p>
      <w:r>
        <w:t xml:space="preserve">entgegen § 7 Abs. 1 die Urne herausgibt oder versendet oder</w:t>
      </w:r>
    </w:p>
    <w:p>
      <w:r>
        <w:t xml:space="preserve">entgegen § 8 Abs. 1 die Einlieferung der Leichen nicht mit den</w:t>
      </w:r>
    </w:p>
    <w:p>
      <w:r>
        <w:t xml:space="preserve">Angaben gemäß den Nummern 1 bis 4 nachweist.</w:t>
      </w:r>
    </w:p>
    <w:p>
      <w:r>
        <w:rPr>
          <w:color w:val="555555"/>
          <w:sz w:val="17"/>
        </w:rPr>
        <w:t xml:space="preserve">Zitiervorschlag: § 10 BbgFBAV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https://recht.nulegal.eu/gesetze/BbgFBAV/10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