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BbgFAGFV (Brandenburg) — Inkrafttreten, Außerkrafttreten</w:t>
      </w:r>
    </w:p>
    <w:p>
      <w:r>
        <w:rPr>
          <w:color w:val="555555"/>
          <w:sz w:val="18"/>
        </w:rPr>
        <w:t xml:space="preserve">Brandenburgische FAG-Förderungsverordnung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2019 in Kraft. Gleichzeitig tritt die FAG-Förderungsverordnung vom 11. Mai 2012 ( GVBl. II Nr. 37) außer Kraft.</w:t>
      </w:r>
    </w:p>
    <w:p>
      <w:r>
        <w:t xml:space="preserve">Einzelnorm</w:t>
      </w:r>
    </w:p>
    <w:p>
      <w:r>
        <w:t xml:space="preserve">Potsdam, den 23. Januar 2019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4 BbgFAGFV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https://recht.nulegal.eu/gesetze/BbgFAGFV/4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