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BbgFAGFV (Brandenburg) — Auszahlung der Zuweisungsmittel</w:t>
      </w:r>
    </w:p>
    <w:p>
      <w:r>
        <w:rPr>
          <w:color w:val="555555"/>
          <w:sz w:val="18"/>
        </w:rPr>
        <w:t xml:space="preserve">Brandenburgische FAG-Förderungsverordnung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Auszahlung der Zuweisungsbeträge gemäß § 1 Absatz 1 erfolgt in vier gleichen Teilbeträgen. Der erste Teilbetrag wird mit Eintritt der Bestandskraft des Verwaltungsaktes gemäß § 1 Absatz 2 Satz 3 ausgezahlt. Die weiteren Teilbeträge werden jeweils zum ersten Kalendertag des zweiten Monats des zweiten bis vierten Quartals ausgezahlt. Die Auszahlung der Zuweisungsbeträge gemäß § 2 Absatz 1 erfolgt mit Eintritt der Bestandskraft des Verwaltungsaktes gemäß § 2 Absatz 5 Satz 3. § 19 Absatz 3 des Brandenburgischen Finanzausgleichsgesetzes gilt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BbgFAGFV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https://recht.nulegal.eu/gesetze/BbgFAGFV/3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