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BbgFAGFV (Brandenburg) — Zuweisungen zur Erhaltung und Sicherung von Theatern, Orchestern und vergleichbaren Einrichtungen mit Theater- und Konzertangeboten</w:t>
      </w:r>
    </w:p>
    <w:p>
      <w:r>
        <w:rPr>
          <w:color w:val="555555"/>
          <w:sz w:val="18"/>
        </w:rPr>
        <w:t xml:space="preserve">Brandenburgische FAG-Förderungsverordnung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Nachfolgend genannten Kommunen erteilt die für Kultur zuständige oberste Landesbehörde auf Anforderung Zuweisungen in Höhe von insgesamt 21 275 000 Euro zur Erhaltung und Sicherung der Spielbetriebe von Theatern, Orchestern und vergleichbaren Einrichtungen mit Theater- und Konzertangeboten. Die Zuweisungen verteilen sich dabei wie folgt:</w:t>
      </w:r>
    </w:p>
    <w:p>
      <w:r>
        <w:t xml:space="preserve">Kommune/Einrichtungen</w:t>
      </w:r>
    </w:p>
    <w:p>
      <w:r>
        <w:t xml:space="preserve">Zuweisungssumme in Euro</w:t>
      </w:r>
    </w:p>
    <w:p>
      <w:r>
        <w:t xml:space="preserve">Stadt Brandenburg an der Havel</w:t>
      </w:r>
    </w:p>
    <w:p>
      <w:r>
        <w:t xml:space="preserve">für das Brandenburger Theater</w:t>
      </w:r>
    </w:p>
    <w:p>
      <w:r>
        <w:t xml:space="preserve">2 228 300</w:t>
      </w:r>
    </w:p>
    <w:p>
      <w:r>
        <w:t xml:space="preserve">2 228 300</w:t>
      </w:r>
    </w:p>
    <w:p>
      <w:r>
        <w:t xml:space="preserve">Stadt Frankfurt (Oder)</w:t>
      </w:r>
    </w:p>
    <w:p>
      <w:r>
        <w:t xml:space="preserve">davon für das Brandenburgische Staatsorchester Frankfurt (Oder)</w:t>
      </w:r>
    </w:p>
    <w:p>
      <w:r>
        <w:t xml:space="preserve">davon für das Kleist Forum Frankfurt</w:t>
      </w:r>
    </w:p>
    <w:p>
      <w:r>
        <w:t xml:space="preserve">3 314 300</w:t>
      </w:r>
    </w:p>
    <w:p>
      <w:r>
        <w:t xml:space="preserve">2 477 600</w:t>
      </w:r>
    </w:p>
    <w:p>
      <w:r>
        <w:t xml:space="preserve">836 700</w:t>
      </w:r>
    </w:p>
    <w:p>
      <w:r>
        <w:t xml:space="preserve">Stadt Cottbus/Chóśebuz</w:t>
      </w:r>
    </w:p>
    <w:p>
      <w:r>
        <w:t xml:space="preserve">davon für die Brandenburgische Kulturstiftung Cottbus-Frankfurt (Oder)</w:t>
      </w:r>
    </w:p>
    <w:p>
      <w:r>
        <w:t xml:space="preserve">davon für das Piccolo Theater</w:t>
      </w:r>
    </w:p>
    <w:p>
      <w:r>
        <w:t xml:space="preserve">7 539 000</w:t>
      </w:r>
    </w:p>
    <w:p>
      <w:r>
        <w:t xml:space="preserve">7 274 700</w:t>
      </w:r>
    </w:p>
    <w:p>
      <w:r>
        <w:t xml:space="preserve">264 300</w:t>
      </w:r>
    </w:p>
    <w:p>
      <w:r>
        <w:t xml:space="preserve">Landeshauptstadt Potsdam</w:t>
      </w:r>
    </w:p>
    <w:p>
      <w:r>
        <w:t xml:space="preserve">davon für das Hans Otto Theater</w:t>
      </w:r>
    </w:p>
    <w:p>
      <w:r>
        <w:t xml:space="preserve">davon für die Kammerakademie Potsdam</w:t>
      </w:r>
    </w:p>
    <w:p>
      <w:r>
        <w:t xml:space="preserve">davon für die Musikfestspiele Sanssouci und Nikolaisaal</w:t>
      </w:r>
    </w:p>
    <w:p>
      <w:r>
        <w:t xml:space="preserve">davon für die Chor- und Orchestersinfonik in Potsdam</w:t>
      </w:r>
    </w:p>
    <w:p>
      <w:r>
        <w:t xml:space="preserve">3 920 000</w:t>
      </w:r>
    </w:p>
    <w:p>
      <w:r>
        <w:t xml:space="preserve">3 000 000</w:t>
      </w:r>
    </w:p>
    <w:p>
      <w:r>
        <w:t xml:space="preserve">400 000</w:t>
      </w:r>
    </w:p>
    <w:p>
      <w:r>
        <w:t xml:space="preserve">450 000</w:t>
      </w:r>
    </w:p>
    <w:p>
      <w:r>
        <w:t xml:space="preserve">70 000</w:t>
      </w:r>
    </w:p>
    <w:p>
      <w:r>
        <w:t xml:space="preserve">Stadt Schwedt/Oder</w:t>
      </w:r>
    </w:p>
    <w:p>
      <w:r>
        <w:t xml:space="preserve">für die Uckermärkischen Bühnen Schwedt</w:t>
      </w:r>
    </w:p>
    <w:p>
      <w:r>
        <w:t xml:space="preserve">1 853 500</w:t>
      </w:r>
    </w:p>
    <w:p>
      <w:r>
        <w:t xml:space="preserve">1 853 500</w:t>
      </w:r>
    </w:p>
    <w:p>
      <w:r>
        <w:t xml:space="preserve">Landkreis Oberspreewald-Lausitz</w:t>
      </w:r>
    </w:p>
    <w:p>
      <w:r>
        <w:t xml:space="preserve">für die Neue Bühne Senftenberg</w:t>
      </w:r>
    </w:p>
    <w:p>
      <w:r>
        <w:t xml:space="preserve">1 614 200</w:t>
      </w:r>
    </w:p>
    <w:p>
      <w:r>
        <w:t xml:space="preserve">1 614 200</w:t>
      </w:r>
    </w:p>
    <w:p>
      <w:r>
        <w:t xml:space="preserve">Landkreis Ostprignitz-Ruppin</w:t>
      </w:r>
    </w:p>
    <w:p>
      <w:r>
        <w:t xml:space="preserve">für die Musikkultur Rheinsberg</w:t>
      </w:r>
    </w:p>
    <w:p>
      <w:r>
        <w:t xml:space="preserve">355 700</w:t>
      </w:r>
    </w:p>
    <w:p>
      <w:r>
        <w:t xml:space="preserve">355 700</w:t>
      </w:r>
    </w:p>
    <w:p>
      <w:r>
        <w:t xml:space="preserve">Landkreis Barnim</w:t>
      </w:r>
    </w:p>
    <w:p>
      <w:r>
        <w:t xml:space="preserve">für das Brandenburgische Konzertorchester Eberswalde</w:t>
      </w:r>
    </w:p>
    <w:p>
      <w:r>
        <w:t xml:space="preserve">220 000</w:t>
      </w:r>
    </w:p>
    <w:p>
      <w:r>
        <w:t xml:space="preserve">220 000</w:t>
      </w:r>
    </w:p>
    <w:p>
      <w:r>
        <w:t xml:space="preserve">Landkreis Uckermark</w:t>
      </w:r>
    </w:p>
    <w:p>
      <w:r>
        <w:t xml:space="preserve">davon für das Preußische Kammerorchester Prenzlau</w:t>
      </w:r>
    </w:p>
    <w:p>
      <w:r>
        <w:t xml:space="preserve">davon für die Kammerphilharmonie Uckermark (Ensemble Quillo)</w:t>
      </w:r>
    </w:p>
    <w:p>
      <w:r>
        <w:t xml:space="preserve">230 000</w:t>
      </w:r>
    </w:p>
    <w:p>
      <w:r>
        <w:t xml:space="preserve">170 000</w:t>
      </w:r>
    </w:p>
    <w:p>
      <w:r>
        <w:t xml:space="preserve">60 000</w:t>
      </w:r>
    </w:p>
    <w:p>
      <w:r>
        <w:t xml:space="preserve">(2) Die Ausgaben sind übertragbar. Die Mittelbewirtschaftung obliegt der für Kultur zuständigen obersten Landesbehörde. Die Zuweisungen gemäß Absatz 1 werden nach Prüfung der Wirtschafts- und Finanzpläne der einzelnen Einrichtungen in Form eines Verwaltungsaktes ausgereicht.</w:t>
      </w:r>
    </w:p>
    <w:p>
      <w:r>
        <w:t xml:space="preserve">Einzelnorm</w:t>
      </w:r>
    </w:p>
    <w:p>
      <w:r>
        <w:rPr>
          <w:color w:val="555555"/>
          <w:sz w:val="17"/>
        </w:rPr>
        <w:t xml:space="preserve">Zitiervorschlag: § 1 BbgFAGFV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https://recht.nulegal.eu/gesetze/BbgFAGFV/1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