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BbgFAG (Brandenburg) — Bedarfsansatz für die Gemeinden</w:t>
      </w:r>
    </w:p>
    <w:p>
      <w:r>
        <w:rPr>
          <w:color w:val="555555"/>
          <w:sz w:val="18"/>
        </w:rPr>
        <w:t xml:space="preserve">Brandenburgisches Finanzausgleichsgesetz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Bedarfsansatz wird durch Vervielfältigung der Einwohnerzahl der Gemeinde mit dem Hauptansatz nach Absatz 2 errechnet.</w:t>
      </w:r>
    </w:p>
    <w:p>
      <w:r>
        <w:t xml:space="preserve">(2) Der Hauptansatz beträgt bei Gemeinden</w:t>
      </w:r>
    </w:p>
    <w:p>
      <w:r>
        <w:t xml:space="preserve">bis zu</w:t>
      </w:r>
    </w:p>
    <w:p>
      <w:r>
        <w:t xml:space="preserve">2500 Einwohnern</w:t>
      </w:r>
    </w:p>
    <w:p>
      <w:r>
        <w:t xml:space="preserve">100 vom Hundert,</w:t>
      </w:r>
    </w:p>
    <w:p>
      <w:r>
        <w:t xml:space="preserve">mit</w:t>
      </w:r>
    </w:p>
    <w:p>
      <w:r>
        <w:t xml:space="preserve">7500 Einwohnern</w:t>
      </w:r>
    </w:p>
    <w:p>
      <w:r>
        <w:t xml:space="preserve">105 vom Hundert,</w:t>
      </w:r>
    </w:p>
    <w:p>
      <w:r>
        <w:t xml:space="preserve">mit</w:t>
      </w:r>
    </w:p>
    <w:p>
      <w:r>
        <w:t xml:space="preserve">15000 Einwohnern</w:t>
      </w:r>
    </w:p>
    <w:p>
      <w:r>
        <w:t xml:space="preserve">112 vom Hundert,</w:t>
      </w:r>
    </w:p>
    <w:p>
      <w:r>
        <w:t xml:space="preserve">mit</w:t>
      </w:r>
    </w:p>
    <w:p>
      <w:r>
        <w:t xml:space="preserve">35000 Einwohnern</w:t>
      </w:r>
    </w:p>
    <w:p>
      <w:r>
        <w:t xml:space="preserve">120 vom Hundert,</w:t>
      </w:r>
    </w:p>
    <w:p>
      <w:r>
        <w:t xml:space="preserve">mit</w:t>
      </w:r>
    </w:p>
    <w:p>
      <w:r>
        <w:t xml:space="preserve">45000 Einwohnern</w:t>
      </w:r>
    </w:p>
    <w:p>
      <w:r>
        <w:t xml:space="preserve">125 vom Hundert,</w:t>
      </w:r>
    </w:p>
    <w:p>
      <w:r>
        <w:t xml:space="preserve">mit</w:t>
      </w:r>
    </w:p>
    <w:p>
      <w:r>
        <w:t xml:space="preserve">55000 Einwohnern</w:t>
      </w:r>
    </w:p>
    <w:p>
      <w:r>
        <w:t xml:space="preserve">130 vom Hundert.</w:t>
      </w:r>
    </w:p>
    <w:p>
      <w:r>
        <w:t xml:space="preserve">Liegt die Einwohnerzahl einer kreisangehörigen Gemeinde zwischen zwei Stufen der Staffelklasse, so wird der Hundertsatz durch Interpolation ermittelt und auf eine Dezimalstelle hinter dem Komma aufgerundet. Für kreisfreie Städte beträgt der Ansatz 150 vom Hundert. Bei der Berechnung des Anteils der Verbandsgemeinde gemäß § 6 Absatz 4 ist als Ansatz die Einwohnerzahl der Verbandsgemeinde maßgebend.</w:t>
      </w:r>
    </w:p>
    <w:p>
      <w:r>
        <w:t xml:space="preserve">(3) Der im Ausgleichsjahr 2024 endende Überprüfungszeitraum der Staffel nach Absatz 2 wird bis zum Ausgleichsjahr 2026 verlängert. Für das Ausgleichsjahr 2027 und sodann in einem dreijährigen Rhythmus wird die Staffel nach Absatz 2 überprüft und bei Bedarf angepasst, soweit nicht besondere Entwicklungen den Anlass zur Verkürzung des Überprüfungszeitraumes geben.</w:t>
      </w:r>
    </w:p>
    <w:p>
      <w:r>
        <w:rPr>
          <w:color w:val="555555"/>
          <w:sz w:val="17"/>
        </w:rPr>
        <w:t xml:space="preserve">Zitiervorschlag: § 8 BbgFAG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https://recht.nulegal.eu/gesetze/BbgFAG/8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