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 BbgFAG (Brandenburg) — In-Kraft-Treten</w:t>
      </w:r>
    </w:p>
    <w:p>
      <w:r>
        <w:rPr>
          <w:color w:val="555555"/>
          <w:sz w:val="18"/>
        </w:rPr>
        <w:t xml:space="preserve">Brandenburgisches Finanzausgleichsgesetz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Dieses Gesetz tritt am 1. Januar 2005 in Kraft.</w:t>
      </w:r>
    </w:p>
    <w:p>
      <w:r>
        <w:t xml:space="preserve">Potsdam, den 29. Juni 2004</w:t>
      </w:r>
    </w:p>
    <w:p>
      <w:r>
        <w:t xml:space="preserve">Der Präsident</w:t>
      </w:r>
    </w:p>
    <w:p>
      <w:r>
        <w:t xml:space="preserve">des Landtages Brandenburg</w:t>
      </w:r>
    </w:p>
    <w:p>
      <w:r>
        <w:t xml:space="preserve">Dr. Herbert Knoblich</w:t>
      </w:r>
    </w:p>
    <w:p>
      <w:r>
        <w:rPr>
          <w:color w:val="555555"/>
          <w:sz w:val="17"/>
        </w:rPr>
        <w:t xml:space="preserve">Zitiervorschlag: § 26 BbgFAG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https://recht.nulegal.eu/gesetze/BbgFAG/26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