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BbgFAG (Brandenburg) — Verjährung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Verjährungsfrist für Ansprüche nach diesem Gesetz und nach den vorangegangenen Gemeindefinanzierungsgesetzen beträgt drei Jahre. Sie beginnt mit Ablauf des Ausgleichsjahres, in dem der Anspruch entstanden ist.</w:t>
      </w:r>
    </w:p>
    <w:p>
      <w:r>
        <w:t xml:space="preserve">(2) Ein Anspruch gegen das Land auf Zinsen für nachzuleistende Beträge besteht nicht.</w:t>
      </w:r>
    </w:p>
    <w:p>
      <w:r>
        <w:rPr>
          <w:color w:val="555555"/>
          <w:sz w:val="17"/>
        </w:rPr>
        <w:t xml:space="preserve">Zitiervorschlag: § 25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