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BbgFAG (Brandenburg) — Festlegungen, Bekanntmachung und Abrechnung der Finanzausgleichsleistungen</w:t>
      </w:r>
    </w:p>
    <w:p>
      <w:r>
        <w:rPr>
          <w:color w:val="555555"/>
          <w:sz w:val="18"/>
        </w:rPr>
        <w:t xml:space="preserve">Brandenburgisches Finanzausgleichsgesetz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Ausgabenansätze nach diesem Gesetz werden im Haushaltsplan des Landes festgelegt.</w:t>
      </w:r>
    </w:p>
    <w:p>
      <w:r>
        <w:t xml:space="preserve">(2) Der Finanzausgleich ist jährlich abzurechnen. Notwendige Verrechnungen sind über den Ausgleichsfonds (§ 16) durchzuführen.</w:t>
      </w:r>
    </w:p>
    <w:p>
      <w:r>
        <w:rPr>
          <w:color w:val="555555"/>
          <w:sz w:val="17"/>
        </w:rPr>
        <w:t xml:space="preserve">Zitiervorschlag: § 2 BbgFAG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