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BbgFAG (Brandenburg) — Ausgleichsfonds</w:t>
      </w:r>
    </w:p>
    <w:p>
      <w:r>
        <w:rPr>
          <w:color w:val="555555"/>
          <w:sz w:val="18"/>
        </w:rPr>
        <w:t xml:space="preserve">Brandenburgisches Finanzausgleichsgesetz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den Ausgleichsfonds werden jeweils 40 000 000 Euro pro Jahr zur Verfügung gestellt.</w:t>
      </w:r>
    </w:p>
    <w:p>
      <w:r>
        <w:t xml:space="preserve">(2) Zum Ausgleich besonderen Bedarfs werden den Gemeinden und Gemeindeverbänden Bedarfszuweisungen zur Verfügung gestellt. Die Mittel sind insbesondere bestimmt für</w:t>
      </w:r>
    </w:p>
    <w:p>
      <w:r>
        <w:t xml:space="preserve">Schuldendiensthilfen wegen Hochverschuldung,</w:t>
      </w:r>
    </w:p>
    <w:p>
      <w:r>
        <w:t xml:space="preserve">die Sicherstellung der Grundausstattung zur Wahrnehmung freiwilliger Selbstverwaltungsaufgaben,</w:t>
      </w:r>
    </w:p>
    <w:p>
      <w:r>
        <w:t xml:space="preserve">den Ausgleich besonderer Härten in Durchführung dieses Gesetzes und des Gemeindefinanzreformgesetzes,</w:t>
      </w:r>
    </w:p>
    <w:p>
      <w:r>
        <w:t xml:space="preserve">die Unterstützung bei der Durchführung unabweisbarer und unaufschiebbarer Investitionsmaßnahmen; aufgrund der besonderen Auffang- und Ergänzungsfunktion sind diese Mittel gegenüber anderen Finanzierungs- und Förderinstrumenten subsidiär.</w:t>
      </w:r>
    </w:p>
    <w:p>
      <w:r>
        <w:t xml:space="preserve">(3) Darüber hinaus können Mittel zur Verfügung gestellt werden für</w:t>
      </w:r>
    </w:p>
    <w:p>
      <w:r>
        <w:t xml:space="preserve">die Unterstützung der Verwaltungsmodernisierung,</w:t>
      </w:r>
    </w:p>
    <w:p>
      <w:r>
        <w:t xml:space="preserve">die Unterstützung bei der Wahrnehmung kommunaler Aufgaben im Brand- und Katastrophenschutz,</w:t>
      </w:r>
    </w:p>
    <w:p>
      <w:r>
        <w:t xml:space="preserve">die Unterstützung der zentralen Finanzierung des kommunalen Anteils für gemeinsame Laufbahnausbildungen von Land und Kommunen.</w:t>
      </w:r>
    </w:p>
    <w:p>
      <w:r>
        <w:t xml:space="preserve">(4) Die Mittel sind vorrangig für die Zwecke des Absatzes 2 Satz 2 Nummer 1 bis 3 zur Sicherstellung eines Mindestmaßes an kommunaler Selbstverwaltung zu verwenden.</w:t>
      </w:r>
    </w:p>
    <w:p>
      <w:r>
        <w:t xml:space="preserve">(5) Über die Verteilung und Verwendung der Mittel entscheidet das für Inneres zuständige Ministerium nach pflichtgemäßem Ermessen.</w:t>
      </w:r>
    </w:p>
    <w:p>
      <w:r>
        <w:rPr>
          <w:color w:val="555555"/>
          <w:sz w:val="17"/>
        </w:rPr>
        <w:t xml:space="preserve">Zitiervorschlag: § 16 BbgFAG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