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BbgFAG (Brandenburg) — Bedarfsansatz für die Landkreise</w:t>
      </w:r>
    </w:p>
    <w:p>
      <w:r>
        <w:rPr>
          <w:color w:val="555555"/>
          <w:sz w:val="18"/>
        </w:rPr>
        <w:t xml:space="preserve">Brandenburgisches Finanzausgleichsgesetz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Bedarfsansatz wird aus dem Einwohneransatz nach Absatz 2 und dem Flächenansatz nach Absatz 3 gebildet.</w:t>
      </w:r>
    </w:p>
    <w:p>
      <w:r>
        <w:t xml:space="preserve">(2) Der Einwohneransatz eines Landkreises entspricht seiner Einwohnerzahl.</w:t>
      </w:r>
    </w:p>
    <w:p>
      <w:r>
        <w:t xml:space="preserve">(3) Der Flächenansatz wird gebildet, indem je angefangenem Quadratkilometer Gebietsfläche des Landkreises zehn Einwohner der Einwohnerzahl hinzugerechnet werden.</w:t>
      </w:r>
    </w:p>
    <w:p>
      <w:r>
        <w:rPr>
          <w:color w:val="555555"/>
          <w:sz w:val="17"/>
        </w:rPr>
        <w:t xml:space="preserve">Zitiervorschlag: § 11 BbgFAG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https://recht.nulegal.eu/gesetze/BbgFAG/11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