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BbgFAG (Brandenburg) — Bedarfsmesszahl für die Landkreise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Bedarfsmesszahl, die die durchschnittliche Aufgabenbelastung ausdrückt, wird für einen Landkreis ermittelt, indem der Bedarfsansatz nach § 11 mit einem Grundbetrag nach Absatz 2 vervielfältigt wird.</w:t>
      </w:r>
    </w:p>
    <w:p>
      <w:r>
        <w:t xml:space="preserve">(2) Der Grundbetrag ist zusammen für allgemeine Schlüsselzuweisungen nach § 6 und investive Schlüsselzuweisungen nach § 13 für Landkreise so zu berechnen und auf zwei Stellen nach dem Komma festzusetzen, dass die Schlüsselmassen soweit wie rechnerisch möglich aufgebraucht werden. Ein verbleibender Spitzenbetrag ist dem Ausgleichsfonds zuzuführen.</w:t>
      </w:r>
    </w:p>
    <w:p>
      <w:r>
        <w:rPr>
          <w:color w:val="555555"/>
          <w:sz w:val="17"/>
        </w:rPr>
        <w:t xml:space="preserve">Zitiervorschlag: § 10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