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BbgFördAV (Brandenburg) — Marktwert für tonige Gesteine</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Marktwert für tonige Gesteine im Sinne der Bodenschatzziffern 9.18, 9.19, 9.21 und 9.22 beträgt 13 Prozent des Quotienten aus dem Produktionswert und der Produktionsmenge der im Erhebungszeitraum erfolgten Produktion in Euro pro Kubikmeter.</w:t>
      </w:r>
    </w:p>
    <w:p>
      <w:r>
        <w:t xml:space="preserve">(2) Maßgeblich für die Berücksichtigung des Produktionswertes und der Produktionsmenge sind die in der Datenbank des Statistischen Bundesamtes „Genesis-online“, Tabellencode 42131-0004: „Produktion im Verarbeitenden Gewerbe: Deutschland, Jahre, Güterverzeichnis (9-Steller)“ unter „Thema/Statistik 42131 ‒ Wirtschaftsbereiche, Verarbeitendes Gewerbe, Bergbau, Gewinnung von Steinen und Erden, Konjunkturerhebungen, Vierteljährliche Produktionserhebung im Verarbeitenden Gewerbe“ unter den Meldenummern 2332 11 103, 2332 11 105 und 2332 11 107 veröffentlichten Jahresangaben.</w:t>
      </w:r>
    </w:p>
    <w:p>
      <w:r>
        <w:rPr>
          <w:color w:val="555555"/>
          <w:sz w:val="17"/>
        </w:rPr>
        <w:t xml:space="preserve">Zitiervorschlag: § 19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