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BbgEuroAnpG (Brandenburg)</w:t>
      </w:r>
    </w:p>
    <w:p>
      <w:r>
        <w:rPr>
          <w:color w:val="555555"/>
          <w:sz w:val="18"/>
        </w:rPr>
        <w:t xml:space="preserve">Brandenburgisches Gesetz zur Anpassung des Landesrechts für die Einführung des Euro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1999 in Kraft.</w:t>
      </w:r>
    </w:p>
    <w:p>
      <w:r>
        <w:t xml:space="preserve">Potsdam, den 21. Dezember 1998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2 BbgEuroAnpG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https://recht.nulegal.eu/gesetze/BbgEuroAnpG/2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