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BbgEZulV (Brandenburg) — Inkrafttreten</w:t>
      </w:r>
    </w:p>
    <w:p>
      <w:r>
        <w:rPr>
          <w:color w:val="555555"/>
          <w:sz w:val="18"/>
        </w:rPr>
        <w:t xml:space="preserve">Brandenburgische Erschwerniszulagenverordnung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vorbehaltlich des Satzes 2 mit Wirkung vom 1. Januar 2014 in Kraft. § 21 Absatz 2 tritt mit Wirkung vom 1. August 2014 in Kraft.</w:t>
      </w:r>
    </w:p>
    <w:p>
      <w:r>
        <w:t xml:space="preserve">Potsdam, den 10. September 2014</w:t>
      </w:r>
    </w:p>
    <w:p>
      <w:r>
        <w:t xml:space="preserve">Die Landesregierung</w:t>
      </w:r>
    </w:p>
    <w:p>
      <w:r>
        <w:t xml:space="preserve">des Landes Brandenburg</w:t>
      </w:r>
    </w:p>
    <w:p>
      <w:r>
        <w:t xml:space="preserve">Der Ministerpräsident</w:t>
      </w:r>
    </w:p>
    <w:p>
      <w:r>
        <w:t xml:space="preserve">Dr. Dietmar Woidke</w:t>
      </w:r>
    </w:p>
    <w:p>
      <w:r>
        <w:t xml:space="preserve">Der Minister der Finanzen</w:t>
      </w:r>
    </w:p>
    <w:p>
      <w:r>
        <w:t xml:space="preserve">Christian Görke</w:t>
      </w:r>
    </w:p>
    <w:p>
      <w:r>
        <w:rPr>
          <w:color w:val="555555"/>
          <w:sz w:val="17"/>
        </w:rPr>
        <w:t xml:space="preserve">Zitiervorschlag: § 24 BbgEZulV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https://recht.nulegal.eu/gesetze/BbgEZulV/24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