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BbgEZulV (Brandenburg) — Entstehung des Anspruchs</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Anspruch auf die Zulage entsteht mit der tatsächlichen Aufnahme der zulageberechtigenden Tätigkeit und erlischt mit deren Beendigung, soweit in den §§ 18 bis 23 nichts anderes bestimmt ist.</w:t>
      </w:r>
    </w:p>
    <w:p>
      <w:r>
        <w:t xml:space="preserve">(2) Besteht der Anspruch auf die Zulage nicht für einen vollen Kalendermonat und sieht die Zulagenregelung eine tageweise Abgeltung nicht vor, wird nur der Teil der Zulage gezahlt, der auf den Anspruchszeitraum entfällt.</w:t>
      </w:r>
    </w:p>
    <w:p>
      <w:r>
        <w:rPr>
          <w:color w:val="555555"/>
          <w:sz w:val="17"/>
        </w:rPr>
        <w:t xml:space="preserve">Zitiervorschlag: § 17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BbgEZulV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