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BbgEZulV (Brandenburg) — Anwendungsbereich</w:t>
      </w:r>
    </w:p>
    <w:p>
      <w:r>
        <w:rPr>
          <w:color w:val="555555"/>
          <w:sz w:val="18"/>
        </w:rPr>
        <w:t xml:space="preserve">Brandenburgische Erschwerniszulagenverordnung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Diese Verordnung regelt die Gewährung von Zulagen zur Abgeltung besonderer, bei der Bewertung des Amtes oder bei der Regelung der Anwärterbezüge nicht berücksichtigter Erschwernisse (Erschwerniszulagen) für Empfängerinnen und Empfänger von Dienstbezügen oder Anwärterbezügen. Durch eine Erschwerniszulage wird ein mit der Erschwernis verbundener Aufwand mit abgegolten.</w:t>
      </w:r>
    </w:p>
    <w:p>
      <w:r>
        <w:rPr>
          <w:color w:val="555555"/>
          <w:sz w:val="17"/>
        </w:rPr>
        <w:t xml:space="preserve">Zitiervorschlag: § 1 BbgEZulV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https://recht.nulegal.eu/gesetze/BbgEZulV/1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