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BbgEVTZ-ZustV (Brandenburg) — Inkrafttreten</w:t>
      </w:r>
    </w:p>
    <w:p>
      <w:r>
        <w:rPr>
          <w:color w:val="555555"/>
          <w:sz w:val="18"/>
        </w:rPr>
        <w:t xml:space="preserve">Brandenburgische EVTZ-Zuständigkeitsverordnung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1. August 2007 in Kraft.</w:t>
      </w:r>
    </w:p>
    <w:p>
      <w:r>
        <w:t xml:space="preserve">Potsdam, den 22. November 2007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Matthias Platzeck</w:t>
      </w:r>
    </w:p>
    <w:p>
      <w:r>
        <w:t xml:space="preserve">Der Minister des Innern</w:t>
      </w:r>
    </w:p>
    <w:p>
      <w:r>
        <w:t xml:space="preserve">Jörg Schönbohm</w:t>
      </w:r>
    </w:p>
    <w:p>
      <w:r>
        <w:rPr>
          <w:color w:val="555555"/>
          <w:sz w:val="17"/>
        </w:rPr>
        <w:t xml:space="preserve">Zitiervorschlag: § 2 BbgEVTZ-ZustV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https://recht.nulegal.eu/gesetze/BbgEVTZ-ZustV/2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