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BbgERechV (Brandenburg) — Schutz personenbezogener Daten</w:t>
      </w:r>
    </w:p>
    <w:p>
      <w:r>
        <w:rPr>
          <w:color w:val="555555"/>
          <w:sz w:val="18"/>
        </w:rPr>
        <w:t xml:space="preserve">Brandenburgische E-Rechnungsverordnung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Personenbezogene Daten, die durch elektronische Rechnungsstellung übermittelt und empfangen wurden, dürfen vom Rechnungsempfangenden nur zur Erfüllung der Aufgaben nach dieser Rechtsverordnung und zur Erfüllung der haushaltsrechtlichen Vorgaben verarbeitet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BbgERechV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https://recht.nulegal.eu/gesetze/BbgERechV/7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