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BbgERechV (Brandenburg) — Verarbeitung von elektronischen Rechnungen</w:t>
      </w:r>
    </w:p>
    <w:p>
      <w:r>
        <w:rPr>
          <w:color w:val="555555"/>
          <w:sz w:val="18"/>
        </w:rPr>
        <w:t xml:space="preserve">Brandenburgische E-Rechnungsverordnung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Rechnungsempfangende, die das Standardverfahren des Landes für das Haushalts-, Kassen- und Rechnungswesen (HKR) nutzen, haben die gemäß § 4 Absatz 2 übermittelten elektronischen Rechnungen entsprechend den Vorgaben des für Finanzen zuständigen Ministeriums zu verarbeiten.</w:t>
      </w:r>
    </w:p>
    <w:p>
      <w:r>
        <w:t xml:space="preserve">(2) Rechnungsempfangende, die nicht das Standardverfahren des Landes für das Haushalts-, Kassen- und Rechnungswesen (HKR) nutzen, haben die gemäß § 4 Absatz 3 übermittelten elektronischen Rechnungen nach pflichtgemäßem Ermessen zu verarbeiten.</w:t>
      </w:r>
    </w:p>
    <w:p>
      <w:r>
        <w:t xml:space="preserve">(3) Die Absätze 1 und 2 gelten nicht für Rechnungen, die in Verfahren der Organleihe nach § 159 Absatz 1 Nummer 5 des Gesetzes gegen Wettbewerbsbeschränkungen auszustellen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BbgERechV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https://recht.nulegal.eu/gesetze/BbgERechV/6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