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BbgERechV (Brandenburg) — Inhalt der elektronischen Rechnung</w:t>
      </w:r>
    </w:p>
    <w:p>
      <w:r>
        <w:rPr>
          <w:color w:val="555555"/>
          <w:sz w:val="18"/>
        </w:rPr>
        <w:t xml:space="preserve">Brandenburgische E-Rechnungsverordnung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elektronische Rechnung hat neben den umsatzsteuerrechtlichen Rechnungsbestandteilen mindestens folgende Angaben zu enthalten:</w:t>
      </w:r>
    </w:p>
    <w:p>
      <w:r>
        <w:t xml:space="preserve">eine Leitweg-Identifikationsnummer,</w:t>
      </w:r>
    </w:p>
    <w:p>
      <w:r>
        <w:t xml:space="preserve">die Bankverbindungsdaten,</w:t>
      </w:r>
    </w:p>
    <w:p>
      <w:r>
        <w:t xml:space="preserve">die Zahlungsbedingungen und</w:t>
      </w:r>
    </w:p>
    <w:p>
      <w:r>
        <w:t xml:space="preserve">die E-Mail -Adresse des Rechnungsstellenden.</w:t>
      </w:r>
    </w:p>
    <w:p>
      <w:r>
        <w:t xml:space="preserve">(2) Die elektronische Rechnung hat zusätzlich zu den Angaben nach Absatz 1 mindestens folgende Angaben zu enthalten, wenn diese dem Rechnungssteller bereits bei Beauftragung übermittelt wurden:</w:t>
      </w:r>
    </w:p>
    <w:p>
      <w:r>
        <w:t xml:space="preserve">die Lieferantennummer,</w:t>
      </w:r>
    </w:p>
    <w:p>
      <w:r>
        <w:t xml:space="preserve">eine Bestellnummer,</w:t>
      </w:r>
    </w:p>
    <w:p>
      <w:r>
        <w:t xml:space="preserve">ein Aktenzeichen, sofern vorhanden.</w:t>
      </w:r>
    </w:p>
    <w:p>
      <w:r>
        <w:t xml:space="preserve">(3) Die Vorgaben nach den Absätzen 1 und 2 gelten nicht für Rechnungen, die in Verfahren der Organleihe nach § 159 Absatz 1 Nummer 5 des Gesetzes gegen Wettbewerbsbeschränkungen auszustellen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BbgERechV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https://recht.nulegal.eu/gesetze/BbgERechV/5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