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BbgERechV (Brandenburg) — Elektronisches Empfangsverfahren</w:t>
      </w:r>
    </w:p>
    <w:p>
      <w:r>
        <w:rPr>
          <w:color w:val="555555"/>
          <w:sz w:val="18"/>
        </w:rPr>
        <w:t xml:space="preserve">Brandenburgische E-Rechnungsverordnung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Rechnungsstellende können Rechnungen gegenüber Rechnungsempfangenden in elektronischer Form ausstellen und übermitteln. Sie können sich hierbei der Dienstleistung von Rechnungssendenden bedienen.</w:t>
      </w:r>
    </w:p>
    <w:p>
      <w:r>
        <w:t xml:space="preserve">(2) Rechnungsempfangende, die zur juristischen Person Land Brandenburg gehören, müssen die nach Absatz 1 ausgestellten und übermittelten Rechnungen unter Nutzung des Verwaltungsportals nach § 4 Absatz 2 elektronisch empfangen. Ausnahmen bedürfen der Zustimmung des für Finanzen zuständigen Ministeriums.</w:t>
      </w:r>
    </w:p>
    <w:p>
      <w:r>
        <w:t xml:space="preserve">(3) Rechnungsempfangende, die nicht zur juristischen Person Land Brandenburg gehören, können die nach Absatz 1 ausgestellten und übermittelten Rechnungen unter Nutzung des Verwaltungsportals nach § 4 Absatz 2 elektronisch empfangen. Sie können auch andere elektronische Verfahren zum Empfang nutzen.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BbgERechV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https://recht.nulegal.eu/gesetze/BbgERechV/3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