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BbgERechV (Brandenburg) — Geltungsbereich</w:t>
      </w:r>
    </w:p>
    <w:p>
      <w:r>
        <w:rPr>
          <w:color w:val="555555"/>
          <w:sz w:val="18"/>
        </w:rPr>
        <w:t xml:space="preserve">Brandenburgische E-Rechnungsverordnung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 grundsätzlich für alle Rechnungen, mit denen eine Lieferung oder eine sonstige Leistung abgerechnet wird und die nach Erfüllung von Aufträgen und öffentlichen Aufträgen sowie zu Konzessionen ausgestellt wurden, soweit diese Verordnung keine abweichenden Bestimmungen für geheimhaltungsbedürftige Rechnungsdaten enthält.</w:t>
      </w:r>
    </w:p>
    <w:p>
      <w:r>
        <w:t xml:space="preserve">(2) Auftraggebende im Sinne des Teiles 4 des Gesetzes gegen Wettbewerbsbeschränkungen stellen den Empfang und die Verarbeitung elektronischer Rechnungen nach Erfüllung von öffentlichen Aufträgen, Aufträgen sowie zu Konzessionen sicher, soweit für sie gemäß § 159 des Gesetzes gegen Wettbewerbsbeschränkungen eine Vergabekammer des Landes Brandenburg zuständig ist und soweit diese Verordnung keine abweichenden Bestimmungen enthält. Diese Verpflichtung gilt unabhängig davon, ob der Wert des vergebenen öffentlichen Auftrags, des vergebenen Auftrags oder der Vertragswert der vergebenen Konzession den gemäß § 106 des Gesetzes gegen Wettbewerbsbeschränkungen jeweils maßgeblichen Schwellenwert erreicht oder überschreitet.</w:t>
      </w:r>
    </w:p>
    <w:p>
      <w:r>
        <w:t xml:space="preserve">Einzelnorm</w:t>
      </w:r>
    </w:p>
    <w:p>
      <w:r>
        <w:rPr>
          <w:color w:val="555555"/>
          <w:sz w:val="17"/>
        </w:rPr>
        <w:t xml:space="preserve">Zitiervorschlag: § 1 BbgERechV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https://recht.nulegal.eu/gesetze/BbgERechV/1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