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BbgERVV (Brandenburg) — Inkrafttreten, Außerkrafttreten</w:t>
      </w:r>
    </w:p>
    <w:p>
      <w:r>
        <w:rPr>
          <w:color w:val="555555"/>
          <w:sz w:val="18"/>
        </w:rPr>
        <w:t xml:space="preserve">Brandenburgische Elektronischer-Rechtsverkehr-Verordnung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 Gleichzeitig tritt die Brandenburgische Elektronischer-Rechtsverkehr-Verordnung vom 28. Januar 2022 (GVBl. II Nr. 18) außer Kraft.</w:t>
      </w:r>
    </w:p>
    <w:p>
      <w:r>
        <w:t xml:space="preserve">Potsdam, den 1. Dezember 2025</w:t>
      </w:r>
    </w:p>
    <w:p>
      <w:r>
        <w:t xml:space="preserve">Der Minister der Justiz und für Digitalisierung</w:t>
      </w:r>
    </w:p>
    <w:p>
      <w:r>
        <w:t xml:space="preserve">Dr. Benjamin Grimm</w:t>
      </w:r>
    </w:p>
    <w:p>
      <w:r>
        <w:rPr>
          <w:color w:val="555555"/>
          <w:sz w:val="17"/>
        </w:rPr>
        <w:t xml:space="preserve">Zitiervorschlag: § 6 BbgERVV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https://recht.nulegal.eu/gesetze/BbgERVV/6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BbgERVV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