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BbgERVV (Brandenburg) — Übermittlung elektronischer Dokumente in Verfahren vor dem Verfassungsgericht</w:t>
      </w:r>
    </w:p>
    <w:p>
      <w:r>
        <w:rPr>
          <w:color w:val="555555"/>
          <w:sz w:val="18"/>
        </w:rPr>
        <w:t xml:space="preserve">Brandenburgische Elektronischer-Rechtsverkehr-Verordnung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Verfahren vor dem Verfassungsgericht des Landes Brandenburg kann ein elektronisches Dokument abweichend von § 2 Absatz 3 Satz 1 ohne qualifizierte elektronische Signatur von der verantwortenden Person signiert und mit einem anderen sicheren Verfahren nach Absatz 2 eingereicht werden.</w:t>
      </w:r>
    </w:p>
    <w:p>
      <w:r>
        <w:t xml:space="preserve">(2) Andere sichere Verfahren sind</w:t>
      </w:r>
    </w:p>
    <w:p>
      <w:r>
        <w:t xml:space="preserve">der Postfach- und Versanddienst eines De-Mail -Kontos, wenn der Absender bei Versand der Nachricht sicher im Sinne des § 4 Absatz 1 Satz 2 des De-Mail -Gesetzes angemeldet ist und er sich die sichere Anmeldung gemäß § 5 Absatz 5 des De-Mail -Gesetzes bestätigen lässt,</w:t>
      </w:r>
    </w:p>
    <w:p>
      <w:r>
        <w:t xml:space="preserve">der Übermittlungsweg zwischen dem besonderen elektronischen Anwaltspostfach nach § 31a der Bundesrechtsanwaltsordnung oder einem entsprechenden, auf gesetzlicher Grundlage errichteten elektronischen Postfach und der elektronischen Poststelle des Gerichts,</w:t>
      </w:r>
    </w:p>
    <w:p>
      <w:r>
        <w:t xml:space="preserve">der Übermittlungsweg zwischen einem nach Durchführung eines Identifizierungsverfahrens eingerichteten Postfach einer Behörde oder einer juristischen Person des öffentlichen Rechts und der elektronischen Poststelle des Gerichts, das Nähere regelt die Elektronischer-Rechtsverkehr-Verordnung,</w:t>
      </w:r>
    </w:p>
    <w:p>
      <w:r>
        <w:t xml:space="preserve">sonstige bundeseinheitliche Übermittlungswege, die durch Rechtsverordnung der Bundesregierung mit Zustimmung des Bundesrates festgelegt werden, bei denen die Authentizität und die Integrität der Daten sowie die Barrierefreiheit gewährleistet sind.</w:t>
      </w:r>
    </w:p>
    <w:p>
      <w:r>
        <w:rPr>
          <w:color w:val="555555"/>
          <w:sz w:val="17"/>
        </w:rPr>
        <w:t xml:space="preserve">Zitiervorschlag: § 5 BbgERVV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https://recht.nulegal.eu/gesetze/BbgERVV/5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BbgERVV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