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BbgERVV (Brandenburg) — Ersatzeinreichung</w:t>
      </w:r>
    </w:p>
    <w:p>
      <w:r>
        <w:rPr>
          <w:color w:val="555555"/>
          <w:sz w:val="18"/>
        </w:rPr>
        <w:t xml:space="preserve">Brandenburgische Elektronischer-Rechtsverkehr-Verordnung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Ist eine Übermittlung an die elektronische Poststelle gemäß § 2 nicht möglich, können die elektronischen Dokumente abweichend von § 2 Absatz 1 und 2 auf einem Datenträger nach § 3 Nummer 5 bei dem Gericht eingereicht werden. Die Unmöglichkeit der Übermittlung nach § 2 ist darzulegen.</w:t>
      </w:r>
    </w:p>
    <w:p>
      <w:r>
        <w:t xml:space="preserve">(2) Soweit Einreichungen die nach § 3 Nummer 6 bekannt zu gebende Dokumentenzahl oder Volumengrenzen überschreiten, können diese gemäß der Einreichung nach Absatz 1 Satz 1 übermittelt werden.</w:t>
      </w:r>
    </w:p>
    <w:p>
      <w:r>
        <w:t xml:space="preserve">(3) Die nach § 3 bekanntgegebenen Bearbeitungsvoraussetzungen sind auch in den Fällen der Absätze 1 und 2 einzuhalten, soweit sie nicht den elektronischen Übermittlungsvorgang betreffen.</w:t>
      </w:r>
    </w:p>
    <w:p>
      <w:r>
        <w:t xml:space="preserve">(4) Ist die Entgegennahme elektronischer Dokumente über die elektronische Poststelle gemäß § 2 und gemäß Absatz 1 Satz 1 nicht möglich, trifft der Vorstand des Gerichts im Einzelfall Anordnungen zur Einreichung von Dokumenten.</w:t>
      </w:r>
    </w:p>
    <w:p>
      <w:r>
        <w:rPr>
          <w:color w:val="555555"/>
          <w:sz w:val="17"/>
        </w:rPr>
        <w:t xml:space="preserve">Zitiervorschlag: § 4 BbgERVV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https://recht.nulegal.eu/gesetze/BbgERVV/4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