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BbgEMV (Brandenburg) — Inkrafttreten</w:t>
      </w:r>
    </w:p>
    <w:p>
      <w:r>
        <w:rPr>
          <w:color w:val="555555"/>
          <w:sz w:val="18"/>
        </w:rPr>
        <w:t xml:space="preserve">Brandenburgische Elektro-Motorbootverordnung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14. Januar 2019</w:t>
      </w:r>
    </w:p>
    <w:p>
      <w:r>
        <w:t xml:space="preserve">Der Minister für Ländliche Entwicklung,</w:t>
      </w:r>
    </w:p>
    <w:p>
      <w:r>
        <w:t xml:space="preserve">Umwelt und Landwirtschaft</w:t>
      </w:r>
    </w:p>
    <w:p>
      <w:r>
        <w:t xml:space="preserve">Jörg Vogelsänger</w:t>
      </w:r>
    </w:p>
    <w:p>
      <w:r>
        <w:rPr>
          <w:color w:val="555555"/>
          <w:sz w:val="17"/>
        </w:rPr>
        <w:t xml:space="preserve">Zitiervorschlag: § 5 BbgEMV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https://recht.nulegal.eu/gesetze/BbgEMV/5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