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BbgEMV (Brandenburg) — Weitergehende Verbote und Ausnahmen</w:t>
      </w:r>
    </w:p>
    <w:p>
      <w:r>
        <w:rPr>
          <w:color w:val="555555"/>
          <w:sz w:val="18"/>
        </w:rPr>
        <w:t xml:space="preserve">Brandenburgische Elektro-Motorbootverordnung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Verbots- und Ausnahmebestimmungen nach anderen Vorschriften, insbesondere naturschutzrechtlichen Regelungen, bleiben unberührt.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BbgEMV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https://recht.nulegal.eu/gesetze/BbgEMV/4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